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职业教育教学改革研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究常规课题申报指南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本指南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列出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课题研究选题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类型分为重点选题与一般选题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重点选题一般课题名称不予变更，并以此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确定研究内容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，同时将给予一定的经费支持。一般选题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可结合职业院校教育教学中存在的重点、难点和热点问题，确定研究的课题名称、内容、研究方法等，并组织力量实施。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68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1.重点选题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A01职业教育中国式现代化研究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职业院校创新立德树人落实机制路径的研究与实践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职业教育本科与应用型本科课程教学差异性研究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职业教育贯通培养体系下的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质量保障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机制与实践研究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新发展阶段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职普渗透融通的内涵与实践研究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中等职业教育专业大类培养模式实施路径研究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7职业教育市域产教联合体运行机制与实践研究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8职业教育行业产教融合共同体运行机制与实践研究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A0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职业教育资源与区域重要产业匹配实践路径研究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数字赋能的新技术在职业技术教育中的应用研究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职业教育按专业类别经费投入可持续性及合理分配研究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“双师型”导向的职业教育教师评价制度研究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面向产业的职业教育师资培养体系构建研究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A1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新时代高质量职业教育师资建设及供需配给研究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A15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海峡两岸职业教育融合发展研究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A16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职业教育助力乡村振兴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的典型模式与推进策略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68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一般选题。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其他选题内容。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二、申报限额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中职学校。省级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双高计划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”立项建设单位每校限报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；设区市教研机构及其他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学校每校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限报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高职院校。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国家“双高计划”立项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每校限报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；省级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双高计划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”立项建设单位每校限报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；其他院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校每校限报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2项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eastAsia="zh-CN"/>
        </w:rPr>
        <w:t>职教本科、应用型本科院校。每校限报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4.根据2022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中心组织的课题结项情况，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被评为优秀课题的主持单位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在上述申报限额的基础上可多申报1项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；课题被撤项终止研究的主持单位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在上述申报限额的基础上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none"/>
          <w:lang w:val="en-US" w:eastAsia="zh-CN"/>
        </w:rPr>
        <w:t>1项</w:t>
      </w: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。超额多报的按申报单位的推荐排序在相应限额内确定申报课题。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申报者须具有副高及以上专业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职务。中级职称教师申报课题立项的，需由2位本专业（学科）副高及以上教师推荐。申报者需能承担实质性研究任务，并具有一定的科研组织能力。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各课题组需在申报截止时间前将申报书、论证活页及汇总表电子文档报送教研部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instrText xml:space="preserve"> HYPERLINK "mailto:教研部电子邮箱fjjyedu@126.com" </w:instrTex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电子邮箱（fjjyedu@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163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.com）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，打包邮件中各课题名称标注“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年常规课题申报+学校+主持人姓名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报送纸质材料包括：《立项申报书》、《设计论证活页》（全文中不得出现申报者及参与研究人员的姓名与单位，若出现则取消评审资格）以及汇总表一式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份，各申报单位加盖单位公章，于申报截止时间前寄送到福建省职业技术教育中心教学研究部（申报材料请课题组自行留底，便于课题结题）。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材料寄送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地址：福建省福州市五四路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217号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电教大楼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福建省职业技术教育中心教学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研究部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伍洋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、陈星毅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联系电话：0591-88500497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41F03"/>
    <w:multiLevelType w:val="singleLevel"/>
    <w:tmpl w:val="DF141F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00000"/>
    <w:rsid w:val="158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2023-04-07T07:42:55Z</dcterms:created>
  <dc:creator>Administrator</dc:creator>
  <cp:lastModifiedBy>梅</cp:lastModifiedBy>
  <dcterms:modified xsi:type="dcterms:W3CDTF">2023-04-07T07:43:06Z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9658E1077C4945E6AA90B1DAFBB33953_12</vt:lpwstr>
  </property>
</Properties>
</file>